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EE14" w14:textId="77777777" w:rsidR="00D16E0C" w:rsidRPr="00AD4B2C" w:rsidRDefault="00884EBE" w:rsidP="00390D05">
      <w:pPr>
        <w:rPr>
          <w:b/>
        </w:rPr>
      </w:pPr>
      <w:proofErr w:type="gramStart"/>
      <w:r w:rsidRPr="00AD4B2C">
        <w:rPr>
          <w:b/>
        </w:rPr>
        <w:t>PRESS  RELEASE</w:t>
      </w:r>
      <w:proofErr w:type="gramEnd"/>
    </w:p>
    <w:p w14:paraId="2D90D82C" w14:textId="77777777" w:rsidR="00D16E0C" w:rsidRPr="00AD4B2C" w:rsidRDefault="00D16E0C" w:rsidP="00390D05">
      <w:pPr>
        <w:rPr>
          <w:b/>
          <w:bCs/>
        </w:rPr>
      </w:pPr>
    </w:p>
    <w:p w14:paraId="53F2160E" w14:textId="58E0F830" w:rsidR="00955FB4" w:rsidRPr="00AD4B2C" w:rsidRDefault="00D16E0C" w:rsidP="00390D05">
      <w:pPr>
        <w:rPr>
          <w:b/>
        </w:rPr>
      </w:pPr>
      <w:r w:rsidRPr="00AD4B2C">
        <w:rPr>
          <w:b/>
        </w:rPr>
        <w:t xml:space="preserve">IMMEDIATE   </w:t>
      </w:r>
      <w:r w:rsidR="000D6D9F" w:rsidRPr="00AD4B2C">
        <w:rPr>
          <w:b/>
        </w:rPr>
        <w:t>16</w:t>
      </w:r>
      <w:r w:rsidR="00390D05" w:rsidRPr="00AD4B2C">
        <w:rPr>
          <w:b/>
        </w:rPr>
        <w:t>.</w:t>
      </w:r>
      <w:r w:rsidR="00F604E1" w:rsidRPr="00AD4B2C">
        <w:rPr>
          <w:b/>
        </w:rPr>
        <w:t>1</w:t>
      </w:r>
      <w:r w:rsidRPr="00AD4B2C">
        <w:rPr>
          <w:b/>
        </w:rPr>
        <w:t>.</w:t>
      </w:r>
      <w:r w:rsidR="00F604E1" w:rsidRPr="00AD4B2C">
        <w:rPr>
          <w:b/>
        </w:rPr>
        <w:t>2018</w:t>
      </w:r>
    </w:p>
    <w:p w14:paraId="499E3901" w14:textId="77777777" w:rsidR="000D6D9F" w:rsidRPr="00AD4B2C" w:rsidRDefault="000D6D9F" w:rsidP="00390D05">
      <w:pPr>
        <w:rPr>
          <w:b/>
        </w:rPr>
      </w:pPr>
    </w:p>
    <w:p w14:paraId="55FDC6F6" w14:textId="77777777" w:rsidR="000D6D9F" w:rsidRPr="00AD4B2C" w:rsidRDefault="000D6D9F" w:rsidP="00390D05">
      <w:pPr>
        <w:rPr>
          <w:b/>
        </w:rPr>
      </w:pPr>
    </w:p>
    <w:p w14:paraId="03C69EEB" w14:textId="2E55B6D8" w:rsidR="000D6D9F" w:rsidRPr="00AD4B2C" w:rsidRDefault="000D6D9F" w:rsidP="00AD4B2C">
      <w:pPr>
        <w:jc w:val="center"/>
        <w:rPr>
          <w:b/>
        </w:rPr>
      </w:pPr>
      <w:r w:rsidRPr="00AD4B2C">
        <w:rPr>
          <w:b/>
        </w:rPr>
        <w:t>CITIZENS’ ASSEMBLY CALLS FOR MULTI-OPTION VOTING</w:t>
      </w:r>
    </w:p>
    <w:p w14:paraId="16CCF8D9" w14:textId="77777777" w:rsidR="00C831DD" w:rsidRPr="00AD4B2C" w:rsidRDefault="00C831DD" w:rsidP="00E81F28"/>
    <w:p w14:paraId="5F9E9F44" w14:textId="77777777" w:rsidR="00444B90" w:rsidRPr="00AD4B2C" w:rsidRDefault="00444B90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295448D3" w14:textId="77777777" w:rsidR="000D6D9F" w:rsidRPr="00AD4B2C" w:rsidRDefault="000D6D9F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922BBB3" w14:textId="58C7EA69" w:rsidR="000D6D9F" w:rsidRPr="00AD4B2C" w:rsidRDefault="000D6D9F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AD4B2C">
        <w:rPr>
          <w:lang w:val="en-US"/>
        </w:rPr>
        <w:t xml:space="preserve">The de Borda Institute welcomes </w:t>
      </w:r>
      <w:r w:rsidR="0045693E">
        <w:rPr>
          <w:lang w:val="en-US"/>
        </w:rPr>
        <w:t>Ireland’s</w:t>
      </w:r>
      <w:r w:rsidRPr="00AD4B2C">
        <w:rPr>
          <w:lang w:val="en-US"/>
        </w:rPr>
        <w:t xml:space="preserve"> Citizens’ Assembly’s call for multi-option referendums, bu</w:t>
      </w:r>
      <w:r w:rsidR="00AD4B2C" w:rsidRPr="00AD4B2C">
        <w:rPr>
          <w:lang w:val="en-US"/>
        </w:rPr>
        <w:t>t it’s a pity</w:t>
      </w:r>
      <w:r w:rsidRPr="00AD4B2C">
        <w:rPr>
          <w:lang w:val="en-US"/>
        </w:rPr>
        <w:t xml:space="preserve"> they did not </w:t>
      </w:r>
      <w:r w:rsidR="0045693E">
        <w:rPr>
          <w:lang w:val="en-US"/>
        </w:rPr>
        <w:t>recommend</w:t>
      </w:r>
      <w:r w:rsidRPr="00AD4B2C">
        <w:rPr>
          <w:lang w:val="en-US"/>
        </w:rPr>
        <w:t xml:space="preserve"> the best forms of preferential voting, the Borda </w:t>
      </w:r>
      <w:r w:rsidR="0045693E">
        <w:rPr>
          <w:lang w:val="en-US"/>
        </w:rPr>
        <w:t>&amp;</w:t>
      </w:r>
      <w:r w:rsidRPr="00AD4B2C">
        <w:rPr>
          <w:lang w:val="en-US"/>
        </w:rPr>
        <w:t xml:space="preserve"> Condorcet rules.</w:t>
      </w:r>
    </w:p>
    <w:p w14:paraId="732E8569" w14:textId="77777777" w:rsidR="00AD4B2C" w:rsidRPr="00442CAA" w:rsidRDefault="00AD4B2C" w:rsidP="00C831DD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6BA6690" w14:textId="587EFF75" w:rsidR="000D6D9F" w:rsidRPr="00AD4B2C" w:rsidRDefault="000D6D9F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 xml:space="preserve">Consider the following profile: 14 voters casting their preferences on four options, </w:t>
      </w:r>
      <w:r w:rsidRPr="00AD4B2C">
        <w:rPr>
          <w:b/>
          <w:i/>
          <w:lang w:val="en-US"/>
        </w:rPr>
        <w:t>A, B, C</w:t>
      </w:r>
      <w:r w:rsidRPr="00AD4B2C">
        <w:rPr>
          <w:lang w:val="en-US"/>
        </w:rPr>
        <w:t xml:space="preserve"> and </w:t>
      </w:r>
      <w:r w:rsidRPr="00AD4B2C">
        <w:rPr>
          <w:b/>
          <w:i/>
          <w:lang w:val="en-US"/>
        </w:rPr>
        <w:t>D</w:t>
      </w:r>
      <w:r w:rsidRPr="00AD4B2C">
        <w:rPr>
          <w:lang w:val="en-US"/>
        </w:rPr>
        <w:t>.</w:t>
      </w:r>
    </w:p>
    <w:p w14:paraId="77537F01" w14:textId="77777777" w:rsidR="000D6D9F" w:rsidRPr="00AD4B2C" w:rsidRDefault="000D6D9F" w:rsidP="000D6D9F"/>
    <w:tbl>
      <w:tblPr>
        <w:tblW w:w="5245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7"/>
        <w:gridCol w:w="779"/>
        <w:gridCol w:w="780"/>
        <w:gridCol w:w="779"/>
        <w:gridCol w:w="780"/>
      </w:tblGrid>
      <w:tr w:rsidR="00AD4B2C" w:rsidRPr="00AD4B2C" w14:paraId="5B5BC355" w14:textId="77777777" w:rsidTr="00AD4B2C">
        <w:trPr>
          <w:trHeight w:val="539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3C3423" w14:textId="428DBC5F" w:rsidR="00AD4B2C" w:rsidRPr="00AD4B2C" w:rsidRDefault="00442CAA" w:rsidP="000D6D9F">
            <w:pPr>
              <w:spacing w:line="276" w:lineRule="auto"/>
              <w:jc w:val="center"/>
              <w:textAlignment w:val="baseline"/>
            </w:pPr>
            <w:r>
              <w:t xml:space="preserve"> </w:t>
            </w:r>
          </w:p>
          <w:p w14:paraId="75A8F668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rPr>
                <w:rFonts w:eastAsia="ＭＳ Ｐゴシック"/>
                <w:kern w:val="24"/>
                <w:lang w:val="en-US"/>
              </w:rPr>
              <w:t>Preferences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01EFDC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rPr>
                <w:rFonts w:eastAsia="ＭＳ Ｐゴシック"/>
                <w:kern w:val="24"/>
                <w:lang w:val="en-US"/>
              </w:rPr>
              <w:t>14 voters and their preferences</w:t>
            </w:r>
          </w:p>
        </w:tc>
      </w:tr>
      <w:tr w:rsidR="00AD4B2C" w:rsidRPr="00AD4B2C" w14:paraId="7C6C1149" w14:textId="77777777" w:rsidTr="00AD4B2C">
        <w:trPr>
          <w:trHeight w:val="40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169D2" w14:textId="5F902934" w:rsidR="00AD4B2C" w:rsidRPr="00AD4B2C" w:rsidRDefault="00AD4B2C" w:rsidP="000D6D9F"/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25843E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rPr>
                <w:rFonts w:eastAsia="ＭＳ Ｐゴシック"/>
                <w:i/>
                <w:iCs/>
                <w:kern w:val="24"/>
                <w:lang w:val="en-US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4F0807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t>2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F3D5A6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582ABB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t>4</w:t>
            </w:r>
          </w:p>
        </w:tc>
      </w:tr>
      <w:tr w:rsidR="00AD4B2C" w:rsidRPr="00AD4B2C" w14:paraId="491DC157" w14:textId="77777777" w:rsidTr="00AD4B2C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E0170D" w14:textId="13A00CA1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1</w:t>
            </w: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st</w:t>
            </w: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  <w:r w:rsidRPr="00AD4B2C">
              <w:rPr>
                <w:rFonts w:eastAsia="ＭＳ Ｐゴシック"/>
                <w:i/>
                <w:iCs/>
                <w:kern w:val="24"/>
                <w:lang w:val="en-US"/>
              </w:rPr>
              <w:t xml:space="preserve">   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E13F8A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F679B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B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4649F4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8FC24B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D</w:t>
            </w:r>
          </w:p>
        </w:tc>
      </w:tr>
      <w:tr w:rsidR="00AD4B2C" w:rsidRPr="00AD4B2C" w14:paraId="269FB9C6" w14:textId="77777777" w:rsidTr="00AD4B2C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8EF775" w14:textId="75303F7A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2</w:t>
            </w: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nd</w:t>
            </w: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B7F69B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7C6D81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C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81B57F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B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1C957E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B</w:t>
            </w:r>
          </w:p>
        </w:tc>
      </w:tr>
      <w:tr w:rsidR="00AD4B2C" w:rsidRPr="00AD4B2C" w14:paraId="7D8F1BC0" w14:textId="77777777" w:rsidTr="00AD4B2C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6A0D8" w14:textId="3A25A15D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rPr>
                <w:rFonts w:eastAsia="ＭＳ Ｐゴシック"/>
                <w:i/>
                <w:iCs/>
                <w:kern w:val="24"/>
                <w:lang w:val="en-US"/>
              </w:rPr>
              <w:t>3</w:t>
            </w:r>
            <w:r w:rsidRPr="00AD4B2C">
              <w:rPr>
                <w:rFonts w:eastAsia="ＭＳ Ｐゴシック"/>
                <w:i/>
                <w:iCs/>
                <w:kern w:val="24"/>
                <w:vertAlign w:val="superscript"/>
                <w:lang w:val="en-US"/>
              </w:rPr>
              <w:t>rd</w:t>
            </w:r>
            <w:r w:rsidRPr="00AD4B2C">
              <w:rPr>
                <w:rFonts w:eastAsia="ＭＳ Ｐゴシック"/>
                <w:i/>
                <w:iCs/>
                <w:kern w:val="24"/>
                <w:lang w:val="en-US"/>
              </w:rPr>
              <w:t xml:space="preserve">   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7555FD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C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708462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D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93634B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54F6DB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C</w:t>
            </w:r>
          </w:p>
        </w:tc>
      </w:tr>
      <w:tr w:rsidR="00AD4B2C" w:rsidRPr="00AD4B2C" w14:paraId="2534E09F" w14:textId="77777777" w:rsidTr="00AD4B2C">
        <w:trPr>
          <w:trHeight w:val="35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28A00A" w14:textId="7883834F" w:rsidR="00AD4B2C" w:rsidRPr="00AD4B2C" w:rsidRDefault="00AD4B2C" w:rsidP="000D6D9F">
            <w:pPr>
              <w:spacing w:line="276" w:lineRule="auto"/>
              <w:jc w:val="center"/>
              <w:textAlignment w:val="baseline"/>
            </w:pP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>4</w:t>
            </w: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vertAlign w:val="superscript"/>
                <w:lang w:val="en-US"/>
              </w:rPr>
              <w:t>th</w:t>
            </w:r>
            <w:r w:rsidRPr="00AD4B2C">
              <w:rPr>
                <w:rFonts w:eastAsia="ＭＳ Ｐゴシック"/>
                <w:b/>
                <w:bCs/>
                <w:i/>
                <w:iCs/>
                <w:kern w:val="24"/>
                <w:lang w:val="en-US"/>
              </w:rPr>
              <w:t xml:space="preserve"> </w:t>
            </w:r>
            <w:r w:rsidRPr="00AD4B2C">
              <w:rPr>
                <w:rFonts w:eastAsia="ＭＳ Ｐゴシック"/>
                <w:i/>
                <w:iCs/>
                <w:kern w:val="24"/>
                <w:lang w:val="en-US"/>
              </w:rPr>
              <w:t xml:space="preserve">   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909340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6DBC37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A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DA6C22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A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73529B" w14:textId="77777777" w:rsidR="00AD4B2C" w:rsidRPr="00AD4B2C" w:rsidRDefault="00AD4B2C" w:rsidP="000D6D9F">
            <w:pPr>
              <w:spacing w:line="276" w:lineRule="auto"/>
              <w:jc w:val="center"/>
              <w:textAlignment w:val="baseline"/>
              <w:rPr>
                <w:b/>
                <w:i/>
              </w:rPr>
            </w:pPr>
            <w:r w:rsidRPr="00AD4B2C">
              <w:rPr>
                <w:b/>
                <w:i/>
              </w:rPr>
              <w:t>A</w:t>
            </w:r>
          </w:p>
        </w:tc>
      </w:tr>
    </w:tbl>
    <w:p w14:paraId="789A0535" w14:textId="77777777" w:rsidR="000D6D9F" w:rsidRPr="00AD4B2C" w:rsidRDefault="000D6D9F" w:rsidP="000D6D9F"/>
    <w:p w14:paraId="32E7D4E7" w14:textId="0D117A9E" w:rsidR="00442CAA" w:rsidRDefault="00442CAA" w:rsidP="000D6D9F">
      <w:r w:rsidRPr="00442CAA">
        <w:rPr>
          <w:b/>
          <w:i/>
        </w:rPr>
        <w:t>B</w:t>
      </w:r>
      <w:r>
        <w:t>, the 1</w:t>
      </w:r>
      <w:r w:rsidRPr="00442CAA">
        <w:rPr>
          <w:vertAlign w:val="superscript"/>
        </w:rPr>
        <w:t>st</w:t>
      </w:r>
      <w:r>
        <w:t xml:space="preserve"> or 2</w:t>
      </w:r>
      <w:r w:rsidRPr="00442CAA">
        <w:rPr>
          <w:vertAlign w:val="superscript"/>
        </w:rPr>
        <w:t>nd</w:t>
      </w:r>
      <w:r>
        <w:t xml:space="preserve"> preference of </w:t>
      </w:r>
      <w:r w:rsidRPr="00442CAA">
        <w:rPr>
          <w:i/>
        </w:rPr>
        <w:t>everybody</w:t>
      </w:r>
      <w:r>
        <w:t>, obviously best represents the collective will.  But…</w:t>
      </w:r>
    </w:p>
    <w:p w14:paraId="2A00A380" w14:textId="77777777" w:rsidR="00442CAA" w:rsidRDefault="00442CAA" w:rsidP="000D6D9F"/>
    <w:p w14:paraId="5A06231A" w14:textId="77777777" w:rsidR="00442CAA" w:rsidRPr="00442CAA" w:rsidRDefault="00442CAA" w:rsidP="00442CA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1B1B19BA" w14:textId="7BD52093" w:rsidR="000D6D9F" w:rsidRPr="00AD4B2C" w:rsidRDefault="000D6D9F" w:rsidP="000D6D9F">
      <w:r w:rsidRPr="00AD4B2C">
        <w:t xml:space="preserve">In a plurality vote (which is like Britain’s first-past-the-post, </w:t>
      </w:r>
      <w:r w:rsidRPr="00AD4B2C">
        <w:rPr>
          <w:smallCaps/>
        </w:rPr>
        <w:t>fptp</w:t>
      </w:r>
      <w:r w:rsidRPr="00AD4B2C">
        <w:t>, electoral system),</w:t>
      </w:r>
    </w:p>
    <w:p w14:paraId="642508F2" w14:textId="02E333CA" w:rsidR="000D6D9F" w:rsidRPr="00AD4B2C" w:rsidRDefault="000D6D9F" w:rsidP="000D6D9F">
      <w:pPr>
        <w:jc w:val="right"/>
      </w:pPr>
      <w:proofErr w:type="gramStart"/>
      <w:r w:rsidRPr="00AD4B2C">
        <w:t>the</w:t>
      </w:r>
      <w:proofErr w:type="gramEnd"/>
      <w:r w:rsidRPr="00AD4B2C">
        <w:t xml:space="preserve"> winner is </w:t>
      </w:r>
      <w:r w:rsidRPr="00AD4B2C">
        <w:rPr>
          <w:b/>
          <w:i/>
        </w:rPr>
        <w:t>A</w:t>
      </w:r>
      <w:r w:rsidRPr="00AD4B2C">
        <w:t>.</w:t>
      </w:r>
    </w:p>
    <w:p w14:paraId="40971F64" w14:textId="1C35E963" w:rsidR="000D6D9F" w:rsidRPr="00AD4B2C" w:rsidRDefault="000D6D9F" w:rsidP="000D6D9F">
      <w:r w:rsidRPr="00AD4B2C">
        <w:t xml:space="preserve">In a two-round system, </w:t>
      </w:r>
      <w:r w:rsidR="0045693E" w:rsidRPr="0045693E">
        <w:rPr>
          <w:smallCaps/>
        </w:rPr>
        <w:t>trs</w:t>
      </w:r>
      <w:r w:rsidR="0045693E">
        <w:t xml:space="preserve">, </w:t>
      </w:r>
      <w:r w:rsidRPr="00AD4B2C">
        <w:t>(which is like the French electoral system)</w:t>
      </w:r>
      <w:r w:rsidR="0045693E">
        <w:t>,</w:t>
      </w:r>
    </w:p>
    <w:p w14:paraId="18CFA3B1" w14:textId="1B5620A0" w:rsidR="000D6D9F" w:rsidRPr="00AD4B2C" w:rsidRDefault="000D6D9F" w:rsidP="000D6D9F">
      <w:pPr>
        <w:jc w:val="right"/>
      </w:pPr>
      <w:proofErr w:type="gramStart"/>
      <w:r w:rsidRPr="00AD4B2C">
        <w:t>the</w:t>
      </w:r>
      <w:proofErr w:type="gramEnd"/>
      <w:r w:rsidRPr="00AD4B2C">
        <w:t xml:space="preserve"> winner is </w:t>
      </w:r>
      <w:r w:rsidRPr="00AD4B2C">
        <w:rPr>
          <w:b/>
          <w:i/>
        </w:rPr>
        <w:t>D</w:t>
      </w:r>
      <w:r w:rsidRPr="00AD4B2C">
        <w:t>.</w:t>
      </w:r>
    </w:p>
    <w:p w14:paraId="3024A33D" w14:textId="77777777" w:rsidR="0045693E" w:rsidRDefault="000D6D9F" w:rsidP="000D6D9F">
      <w:r w:rsidRPr="00AD4B2C">
        <w:t xml:space="preserve">In </w:t>
      </w:r>
      <w:r w:rsidRPr="00AD4B2C">
        <w:rPr>
          <w:smallCaps/>
        </w:rPr>
        <w:t>stv</w:t>
      </w:r>
      <w:r w:rsidRPr="00AD4B2C">
        <w:t xml:space="preserve">, (the non </w:t>
      </w:r>
      <w:r w:rsidRPr="00AD4B2C">
        <w:rPr>
          <w:smallCaps/>
        </w:rPr>
        <w:t>pr</w:t>
      </w:r>
      <w:r w:rsidRPr="00AD4B2C">
        <w:t xml:space="preserve">-version of </w:t>
      </w:r>
      <w:proofErr w:type="spellStart"/>
      <w:r w:rsidRPr="00AD4B2C">
        <w:rPr>
          <w:smallCaps/>
        </w:rPr>
        <w:t>pr-stv</w:t>
      </w:r>
      <w:proofErr w:type="spellEnd"/>
      <w:r w:rsidRPr="00AD4B2C">
        <w:t>, the Irish system),</w:t>
      </w:r>
      <w:r w:rsidR="0045693E">
        <w:t xml:space="preserve"> (also known as the </w:t>
      </w:r>
    </w:p>
    <w:p w14:paraId="1A14643C" w14:textId="633F35EF" w:rsidR="000D6D9F" w:rsidRPr="00AD4B2C" w:rsidRDefault="0045693E" w:rsidP="000D6D9F">
      <w:proofErr w:type="gramStart"/>
      <w:r>
        <w:t>alternative</w:t>
      </w:r>
      <w:proofErr w:type="gramEnd"/>
      <w:r>
        <w:t xml:space="preserve"> vote </w:t>
      </w:r>
      <w:r w:rsidRPr="0045693E">
        <w:rPr>
          <w:smallCaps/>
        </w:rPr>
        <w:t>av</w:t>
      </w:r>
      <w:r>
        <w:t>).</w:t>
      </w:r>
    </w:p>
    <w:p w14:paraId="522E50E6" w14:textId="5954D004" w:rsidR="000D6D9F" w:rsidRPr="00AD4B2C" w:rsidRDefault="000D6D9F" w:rsidP="000D6D9F">
      <w:pPr>
        <w:jc w:val="right"/>
      </w:pPr>
      <w:proofErr w:type="gramStart"/>
      <w:r w:rsidRPr="00AD4B2C">
        <w:t>the</w:t>
      </w:r>
      <w:proofErr w:type="gramEnd"/>
      <w:r w:rsidRPr="00AD4B2C">
        <w:t xml:space="preserve"> winner is </w:t>
      </w:r>
      <w:r w:rsidRPr="00AD4B2C">
        <w:rPr>
          <w:b/>
          <w:i/>
        </w:rPr>
        <w:t>C.</w:t>
      </w:r>
    </w:p>
    <w:p w14:paraId="2DE129BF" w14:textId="0DBAC9B0" w:rsidR="00AD4B2C" w:rsidRPr="00AD4B2C" w:rsidRDefault="00AD4B2C" w:rsidP="000D6D9F">
      <w:r w:rsidRPr="00AD4B2C">
        <w:t>While</w:t>
      </w:r>
      <w:r w:rsidR="000D6D9F" w:rsidRPr="00AD4B2C">
        <w:t xml:space="preserve"> in a modified Borda count, </w:t>
      </w:r>
      <w:r w:rsidR="000D6D9F" w:rsidRPr="00AD4B2C">
        <w:rPr>
          <w:smallCaps/>
        </w:rPr>
        <w:t>mbc</w:t>
      </w:r>
      <w:r w:rsidR="00442CAA">
        <w:rPr>
          <w:smallCaps/>
        </w:rPr>
        <w:t>,</w:t>
      </w:r>
      <w:bookmarkStart w:id="0" w:name="_GoBack"/>
      <w:bookmarkEnd w:id="0"/>
      <w:r w:rsidR="000D6D9F" w:rsidRPr="00AD4B2C">
        <w:t xml:space="preserve"> (like part of the Slovenian electoral system), </w:t>
      </w:r>
    </w:p>
    <w:p w14:paraId="5BB1D52A" w14:textId="79476772" w:rsidR="000D6D9F" w:rsidRPr="00AD4B2C" w:rsidRDefault="00AD4B2C" w:rsidP="000D6D9F">
      <w:proofErr w:type="gramStart"/>
      <w:r w:rsidRPr="00AD4B2C">
        <w:t>and</w:t>
      </w:r>
      <w:proofErr w:type="gramEnd"/>
      <w:r w:rsidRPr="00AD4B2C">
        <w:t xml:space="preserve"> in a Condorcet count,</w:t>
      </w:r>
    </w:p>
    <w:p w14:paraId="73719FBA" w14:textId="72DF599D" w:rsidR="000D6D9F" w:rsidRPr="00AD4B2C" w:rsidRDefault="000D6D9F" w:rsidP="000D6D9F">
      <w:pPr>
        <w:jc w:val="right"/>
      </w:pPr>
      <w:proofErr w:type="gramStart"/>
      <w:r w:rsidRPr="00AD4B2C">
        <w:t>the</w:t>
      </w:r>
      <w:proofErr w:type="gramEnd"/>
      <w:r w:rsidRPr="00AD4B2C">
        <w:t xml:space="preserve"> winner is </w:t>
      </w:r>
      <w:r w:rsidRPr="00AD4B2C">
        <w:rPr>
          <w:b/>
          <w:i/>
        </w:rPr>
        <w:t>B</w:t>
      </w:r>
      <w:r w:rsidRPr="00AD4B2C">
        <w:t>.</w:t>
      </w:r>
    </w:p>
    <w:p w14:paraId="387D801A" w14:textId="77777777" w:rsidR="00442CAA" w:rsidRPr="00442CAA" w:rsidRDefault="00442CAA" w:rsidP="00442CA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632AD844" w14:textId="285CD985" w:rsidR="000D6D9F" w:rsidRPr="00AD4B2C" w:rsidRDefault="000D6D9F" w:rsidP="000D6D9F">
      <w:r w:rsidRPr="00AD4B2C">
        <w:t xml:space="preserve">So the </w:t>
      </w:r>
      <w:r w:rsidRPr="00442CAA">
        <w:rPr>
          <w:i/>
        </w:rPr>
        <w:t>totally</w:t>
      </w:r>
      <w:r w:rsidRPr="00AD4B2C">
        <w:t xml:space="preserve"> democratic decision of the 14 voters could be either </w:t>
      </w:r>
      <w:r w:rsidRPr="00AD4B2C">
        <w:rPr>
          <w:b/>
          <w:i/>
        </w:rPr>
        <w:t>A</w:t>
      </w:r>
      <w:r w:rsidRPr="00AD4B2C">
        <w:t xml:space="preserve">, or </w:t>
      </w:r>
      <w:r w:rsidRPr="00AD4B2C">
        <w:rPr>
          <w:b/>
          <w:i/>
        </w:rPr>
        <w:t>B</w:t>
      </w:r>
      <w:r w:rsidRPr="00AD4B2C">
        <w:t xml:space="preserve">, or </w:t>
      </w:r>
      <w:r w:rsidRPr="00AD4B2C">
        <w:rPr>
          <w:b/>
          <w:i/>
        </w:rPr>
        <w:t>C</w:t>
      </w:r>
      <w:r w:rsidRPr="00AD4B2C">
        <w:t xml:space="preserve">, or </w:t>
      </w:r>
      <w:r w:rsidRPr="00AD4B2C">
        <w:rPr>
          <w:b/>
          <w:i/>
        </w:rPr>
        <w:t>D</w:t>
      </w:r>
      <w:r w:rsidR="00442CAA">
        <w:t>!  I</w:t>
      </w:r>
      <w:r w:rsidR="0045693E">
        <w:t>n this and many other voters’ profiles,</w:t>
      </w:r>
      <w:r w:rsidRPr="00AD4B2C">
        <w:t xml:space="preserve"> it all depends upon which voting system is used.  Which is why the choice of voting procedure is so important. </w:t>
      </w:r>
      <w:r w:rsidR="00442CAA">
        <w:t xml:space="preserve"> U</w:t>
      </w:r>
      <w:r w:rsidRPr="00AD4B2C">
        <w:t>nfortunately</w:t>
      </w:r>
      <w:r w:rsidR="00442CAA">
        <w:t xml:space="preserve"> however</w:t>
      </w:r>
      <w:r w:rsidRPr="00AD4B2C">
        <w:t xml:space="preserve">, as in question 7, the Citizens’ Assembly </w:t>
      </w:r>
      <w:r w:rsidR="0045693E">
        <w:t xml:space="preserve">sometimes </w:t>
      </w:r>
      <w:r w:rsidR="00AD4B2C" w:rsidRPr="00AD4B2C">
        <w:t>used the wrong voting procedure</w:t>
      </w:r>
      <w:r w:rsidR="0045693E">
        <w:t>,</w:t>
      </w:r>
      <w:r w:rsidR="00AD4B2C" w:rsidRPr="00AD4B2C">
        <w:t xml:space="preserve"> and thus </w:t>
      </w:r>
      <w:r w:rsidR="0045693E">
        <w:t xml:space="preserve">sometimes </w:t>
      </w:r>
      <w:r w:rsidR="00AD4B2C" w:rsidRPr="00AD4B2C">
        <w:t>got the wrong answer.</w:t>
      </w:r>
    </w:p>
    <w:p w14:paraId="17FD9BED" w14:textId="77777777" w:rsidR="000D6D9F" w:rsidRPr="00AD4B2C" w:rsidRDefault="000D6D9F" w:rsidP="00C831DD">
      <w:pPr>
        <w:widowControl w:val="0"/>
        <w:autoSpaceDE w:val="0"/>
        <w:autoSpaceDN w:val="0"/>
        <w:adjustRightInd w:val="0"/>
        <w:rPr>
          <w:lang w:val="en-US"/>
        </w:rPr>
      </w:pPr>
    </w:p>
    <w:p w14:paraId="4B9A7106" w14:textId="77777777" w:rsidR="000D6D9F" w:rsidRPr="00AD4B2C" w:rsidRDefault="000D6D9F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3332F94" w14:textId="77777777" w:rsidR="000D6D9F" w:rsidRPr="00AD4B2C" w:rsidRDefault="000D6D9F" w:rsidP="00C831DD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71C5FBEA" w14:textId="3F7D1366" w:rsidR="00C831DD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Peter Emerson</w:t>
      </w:r>
      <w:r w:rsidR="009A2DA4" w:rsidRPr="00AD4B2C">
        <w:rPr>
          <w:lang w:val="en-US"/>
        </w:rPr>
        <w:t xml:space="preserve">, </w:t>
      </w:r>
      <w:r w:rsidR="00AD4B2C" w:rsidRPr="00AD4B2C">
        <w:rPr>
          <w:lang w:val="en-US"/>
        </w:rPr>
        <w:t>(</w:t>
      </w:r>
      <w:r w:rsidR="009A2DA4" w:rsidRPr="00AD4B2C">
        <w:rPr>
          <w:lang w:val="en-US"/>
        </w:rPr>
        <w:t xml:space="preserve">currently in the Caucasus which, like the Balkans, has suffered </w:t>
      </w:r>
      <w:r w:rsidR="00AD4B2C" w:rsidRPr="00AD4B2C">
        <w:rPr>
          <w:lang w:val="en-US"/>
        </w:rPr>
        <w:t>horribly from binary referendums).</w:t>
      </w:r>
    </w:p>
    <w:p w14:paraId="7694226A" w14:textId="26F289E5" w:rsidR="00AD4B2C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Director, the de Borda Institute</w:t>
      </w:r>
    </w:p>
    <w:p w14:paraId="04FDB47D" w14:textId="77777777" w:rsidR="00AD4B2C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 xml:space="preserve">36 </w:t>
      </w:r>
      <w:proofErr w:type="spellStart"/>
      <w:r w:rsidRPr="00AD4B2C">
        <w:rPr>
          <w:lang w:val="en-US"/>
        </w:rPr>
        <w:t>Ballysillan</w:t>
      </w:r>
      <w:proofErr w:type="spellEnd"/>
      <w:r w:rsidRPr="00AD4B2C">
        <w:rPr>
          <w:lang w:val="en-US"/>
        </w:rPr>
        <w:t xml:space="preserve"> Road</w:t>
      </w:r>
    </w:p>
    <w:p w14:paraId="0740E623" w14:textId="1401DFC7" w:rsidR="00C831DD" w:rsidRPr="00AD4B2C" w:rsidRDefault="00C831DD" w:rsidP="00C831DD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Belfast BT14 7QQ</w:t>
      </w:r>
      <w:r w:rsidR="00D100CA" w:rsidRPr="00AD4B2C">
        <w:rPr>
          <w:lang w:val="en-US"/>
        </w:rPr>
        <w:t xml:space="preserve">      </w:t>
      </w:r>
    </w:p>
    <w:p w14:paraId="41A82F40" w14:textId="77777777" w:rsidR="00442CAA" w:rsidRPr="00442CAA" w:rsidRDefault="00442CAA" w:rsidP="00442CA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1A0DD4C" w14:textId="77777777" w:rsidR="00AD4B2C" w:rsidRPr="00AD4B2C" w:rsidRDefault="00442CAA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6" w:history="1">
        <w:r w:rsidR="00C831DD" w:rsidRPr="00AD4B2C">
          <w:rPr>
            <w:u w:val="single" w:color="386EFF"/>
            <w:lang w:val="en-US"/>
          </w:rPr>
          <w:t>www.deborda.org</w:t>
        </w:r>
      </w:hyperlink>
      <w:r w:rsidR="00BF1D14" w:rsidRPr="00AD4B2C">
        <w:rPr>
          <w:lang w:val="en-US"/>
        </w:rPr>
        <w:t xml:space="preserve">     </w:t>
      </w:r>
      <w:r w:rsidR="00E81F28" w:rsidRPr="00AD4B2C">
        <w:rPr>
          <w:lang w:val="en-US"/>
        </w:rPr>
        <w:t xml:space="preserve">  </w:t>
      </w:r>
    </w:p>
    <w:p w14:paraId="41392AFB" w14:textId="77777777" w:rsidR="00AD4B2C" w:rsidRPr="00AD4B2C" w:rsidRDefault="00442CAA" w:rsidP="00BF1D14">
      <w:pPr>
        <w:widowControl w:val="0"/>
        <w:autoSpaceDE w:val="0"/>
        <w:autoSpaceDN w:val="0"/>
        <w:adjustRightInd w:val="0"/>
        <w:rPr>
          <w:lang w:val="en-US"/>
        </w:rPr>
      </w:pPr>
      <w:hyperlink r:id="rId7" w:history="1">
        <w:r w:rsidR="00C831DD" w:rsidRPr="00AD4B2C">
          <w:rPr>
            <w:u w:val="single" w:color="4023CD"/>
            <w:lang w:val="en-US"/>
          </w:rPr>
          <w:t>pemerson@deborda.org</w:t>
        </w:r>
      </w:hyperlink>
      <w:r w:rsidR="00703769" w:rsidRPr="00AD4B2C">
        <w:rPr>
          <w:u w:val="single" w:color="4023CD"/>
          <w:lang w:val="en-US"/>
        </w:rPr>
        <w:t xml:space="preserve"> </w:t>
      </w:r>
      <w:r w:rsidR="00703769" w:rsidRPr="00AD4B2C">
        <w:rPr>
          <w:lang w:val="en-US"/>
        </w:rPr>
        <w:t xml:space="preserve"> </w:t>
      </w:r>
    </w:p>
    <w:p w14:paraId="0F419D97" w14:textId="77777777" w:rsidR="00442CAA" w:rsidRPr="00442CAA" w:rsidRDefault="00442CAA" w:rsidP="00442CAA">
      <w:pPr>
        <w:widowControl w:val="0"/>
        <w:autoSpaceDE w:val="0"/>
        <w:autoSpaceDN w:val="0"/>
        <w:adjustRightInd w:val="0"/>
        <w:rPr>
          <w:sz w:val="12"/>
          <w:szCs w:val="12"/>
          <w:lang w:val="en-US"/>
        </w:rPr>
      </w:pPr>
    </w:p>
    <w:p w14:paraId="4FF44D39" w14:textId="47552F33" w:rsidR="00884EBE" w:rsidRPr="00AD4B2C" w:rsidRDefault="00703769" w:rsidP="00BF1D14">
      <w:pPr>
        <w:widowControl w:val="0"/>
        <w:autoSpaceDE w:val="0"/>
        <w:autoSpaceDN w:val="0"/>
        <w:adjustRightInd w:val="0"/>
        <w:rPr>
          <w:lang w:val="en-US"/>
        </w:rPr>
      </w:pPr>
      <w:r w:rsidRPr="00AD4B2C">
        <w:rPr>
          <w:lang w:val="en-US"/>
        </w:rPr>
        <w:t>+44(</w:t>
      </w:r>
      <w:proofErr w:type="gramStart"/>
      <w:r w:rsidRPr="00AD4B2C">
        <w:rPr>
          <w:lang w:val="en-US"/>
        </w:rPr>
        <w:t>0)7837717979</w:t>
      </w:r>
      <w:proofErr w:type="gramEnd"/>
      <w:r w:rsidRPr="00AD4B2C">
        <w:rPr>
          <w:lang w:val="en-US"/>
        </w:rPr>
        <w:t xml:space="preserve"> (</w:t>
      </w:r>
      <w:r w:rsidRPr="00AD4B2C">
        <w:rPr>
          <w:smallCaps/>
          <w:lang w:val="en-US"/>
        </w:rPr>
        <w:t>sms</w:t>
      </w:r>
      <w:r w:rsidRPr="00AD4B2C">
        <w:rPr>
          <w:lang w:val="en-US"/>
        </w:rPr>
        <w:t xml:space="preserve"> only please)</w:t>
      </w:r>
    </w:p>
    <w:sectPr w:rsidR="00884EBE" w:rsidRPr="00AD4B2C" w:rsidSect="000179D9">
      <w:pgSz w:w="11900" w:h="16840"/>
      <w:pgMar w:top="1021" w:right="1021" w:bottom="102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1A5"/>
    <w:multiLevelType w:val="hybridMultilevel"/>
    <w:tmpl w:val="C8E0C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7074"/>
    <w:multiLevelType w:val="hybridMultilevel"/>
    <w:tmpl w:val="D444CFE2"/>
    <w:lvl w:ilvl="0" w:tplc="F15866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84C"/>
    <w:multiLevelType w:val="hybridMultilevel"/>
    <w:tmpl w:val="61FED6A4"/>
    <w:lvl w:ilvl="0" w:tplc="D8CEE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186E"/>
    <w:multiLevelType w:val="hybridMultilevel"/>
    <w:tmpl w:val="DDA0C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22E73"/>
    <w:multiLevelType w:val="hybridMultilevel"/>
    <w:tmpl w:val="40C41E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73B0"/>
    <w:multiLevelType w:val="hybridMultilevel"/>
    <w:tmpl w:val="EAE4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2CB1"/>
    <w:multiLevelType w:val="hybridMultilevel"/>
    <w:tmpl w:val="8FC89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64148"/>
    <w:multiLevelType w:val="hybridMultilevel"/>
    <w:tmpl w:val="3B442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D5BB3"/>
    <w:multiLevelType w:val="hybridMultilevel"/>
    <w:tmpl w:val="D39C98E8"/>
    <w:lvl w:ilvl="0" w:tplc="A3E6487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E"/>
    <w:rsid w:val="000179D9"/>
    <w:rsid w:val="00080F35"/>
    <w:rsid w:val="000833EF"/>
    <w:rsid w:val="000D6D9F"/>
    <w:rsid w:val="00112437"/>
    <w:rsid w:val="00115982"/>
    <w:rsid w:val="001421DB"/>
    <w:rsid w:val="00180D2C"/>
    <w:rsid w:val="001F4DAF"/>
    <w:rsid w:val="00256AF7"/>
    <w:rsid w:val="002B222B"/>
    <w:rsid w:val="002C4C6B"/>
    <w:rsid w:val="002C62B6"/>
    <w:rsid w:val="00383EC6"/>
    <w:rsid w:val="00390D05"/>
    <w:rsid w:val="003B00D4"/>
    <w:rsid w:val="003F7140"/>
    <w:rsid w:val="003F727C"/>
    <w:rsid w:val="00442CAA"/>
    <w:rsid w:val="00444B90"/>
    <w:rsid w:val="0045693E"/>
    <w:rsid w:val="00462261"/>
    <w:rsid w:val="004754B9"/>
    <w:rsid w:val="004853FC"/>
    <w:rsid w:val="004B2490"/>
    <w:rsid w:val="004B26B1"/>
    <w:rsid w:val="00505484"/>
    <w:rsid w:val="0058505C"/>
    <w:rsid w:val="00592B27"/>
    <w:rsid w:val="00703769"/>
    <w:rsid w:val="0072103F"/>
    <w:rsid w:val="007770BA"/>
    <w:rsid w:val="00787DF0"/>
    <w:rsid w:val="00794E56"/>
    <w:rsid w:val="007E59B5"/>
    <w:rsid w:val="00807489"/>
    <w:rsid w:val="008375EC"/>
    <w:rsid w:val="00884EBE"/>
    <w:rsid w:val="008B2B28"/>
    <w:rsid w:val="008C4076"/>
    <w:rsid w:val="008D779D"/>
    <w:rsid w:val="008F36CF"/>
    <w:rsid w:val="00955FB4"/>
    <w:rsid w:val="009A05B0"/>
    <w:rsid w:val="009A2DA4"/>
    <w:rsid w:val="009B56B9"/>
    <w:rsid w:val="00A169D2"/>
    <w:rsid w:val="00A44410"/>
    <w:rsid w:val="00A57C5F"/>
    <w:rsid w:val="00A675E9"/>
    <w:rsid w:val="00AB6777"/>
    <w:rsid w:val="00AC3078"/>
    <w:rsid w:val="00AD4B2C"/>
    <w:rsid w:val="00B467FC"/>
    <w:rsid w:val="00B46910"/>
    <w:rsid w:val="00B60400"/>
    <w:rsid w:val="00B85D88"/>
    <w:rsid w:val="00BA4DAD"/>
    <w:rsid w:val="00BB44F2"/>
    <w:rsid w:val="00BF1D14"/>
    <w:rsid w:val="00C45D60"/>
    <w:rsid w:val="00C831DD"/>
    <w:rsid w:val="00C92CE1"/>
    <w:rsid w:val="00CB3254"/>
    <w:rsid w:val="00CC546F"/>
    <w:rsid w:val="00CD021E"/>
    <w:rsid w:val="00D100CA"/>
    <w:rsid w:val="00D16E0C"/>
    <w:rsid w:val="00D67B17"/>
    <w:rsid w:val="00DA027E"/>
    <w:rsid w:val="00DF7CEC"/>
    <w:rsid w:val="00E47574"/>
    <w:rsid w:val="00E51077"/>
    <w:rsid w:val="00E81F28"/>
    <w:rsid w:val="00ED343E"/>
    <w:rsid w:val="00ED6B89"/>
    <w:rsid w:val="00F07117"/>
    <w:rsid w:val="00F23793"/>
    <w:rsid w:val="00F5105B"/>
    <w:rsid w:val="00F604E1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00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/" TargetMode="External"/><Relationship Id="rId7" Type="http://schemas.openxmlformats.org/officeDocument/2006/relationships/hyperlink" Target="mailto:pemerson@de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1547</Characters>
  <Application>Microsoft Macintosh Word</Application>
  <DocSecurity>0</DocSecurity>
  <Lines>12</Lines>
  <Paragraphs>3</Paragraphs>
  <ScaleCrop>false</ScaleCrop>
  <Company>The de Borda Institute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4</cp:revision>
  <dcterms:created xsi:type="dcterms:W3CDTF">2018-01-16T06:01:00Z</dcterms:created>
  <dcterms:modified xsi:type="dcterms:W3CDTF">2018-01-16T07:42:00Z</dcterms:modified>
</cp:coreProperties>
</file>